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F0B6" w14:textId="77777777" w:rsidR="00674B83" w:rsidRDefault="00674B8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674B83" w14:paraId="691D196C" w14:textId="77777777">
        <w:tc>
          <w:tcPr>
            <w:tcW w:w="8494" w:type="dxa"/>
          </w:tcPr>
          <w:p w14:paraId="3521494A" w14:textId="77777777" w:rsidR="00674B83" w:rsidRDefault="00BB0643">
            <w:pPr>
              <w:jc w:val="center"/>
              <w:rPr>
                <w:b/>
                <w:sz w:val="28"/>
                <w:szCs w:val="28"/>
              </w:rPr>
            </w:pPr>
            <w:r>
              <w:rPr>
                <w:b/>
                <w:sz w:val="28"/>
                <w:szCs w:val="28"/>
              </w:rPr>
              <w:t>Journées Rurales 2019 – Portugal</w:t>
            </w:r>
          </w:p>
          <w:p w14:paraId="5905672F" w14:textId="77777777" w:rsidR="00674B83" w:rsidRDefault="00674B83">
            <w:pPr>
              <w:jc w:val="center"/>
              <w:rPr>
                <w:b/>
                <w:sz w:val="24"/>
                <w:szCs w:val="24"/>
              </w:rPr>
            </w:pPr>
          </w:p>
          <w:p w14:paraId="3F5464F8" w14:textId="77777777" w:rsidR="00674B83" w:rsidRDefault="00BB0643">
            <w:pPr>
              <w:jc w:val="center"/>
            </w:pPr>
            <w:r>
              <w:t>Commission de Géographie Rurale - CNFG</w:t>
            </w:r>
          </w:p>
          <w:p w14:paraId="23B25157" w14:textId="77777777" w:rsidR="00674B83" w:rsidRPr="00FF7DF7" w:rsidRDefault="00BB0643">
            <w:pPr>
              <w:jc w:val="center"/>
              <w:rPr>
                <w:lang w:val="pt-PT"/>
              </w:rPr>
            </w:pPr>
            <w:r w:rsidRPr="00FF7DF7">
              <w:rPr>
                <w:lang w:val="pt-PT"/>
              </w:rPr>
              <w:t>Universidade Nova de Lisboa – FCSH | CICS.NOVA</w:t>
            </w:r>
          </w:p>
          <w:p w14:paraId="0AE748E1" w14:textId="77777777" w:rsidR="00674B83" w:rsidRPr="00FF7DF7" w:rsidRDefault="00674B83">
            <w:pPr>
              <w:jc w:val="center"/>
              <w:rPr>
                <w:lang w:val="pt-PT"/>
              </w:rPr>
            </w:pPr>
          </w:p>
          <w:p w14:paraId="65E3A425" w14:textId="77777777" w:rsidR="00674B83" w:rsidRDefault="00BB0643">
            <w:pPr>
              <w:jc w:val="center"/>
              <w:rPr>
                <w:b/>
              </w:rPr>
            </w:pPr>
            <w:r>
              <w:rPr>
                <w:b/>
              </w:rPr>
              <w:t>Lisbonne le 17 juin 2019</w:t>
            </w:r>
          </w:p>
        </w:tc>
      </w:tr>
    </w:tbl>
    <w:p w14:paraId="1C65395A" w14:textId="77777777" w:rsidR="00674B83" w:rsidRDefault="00674B83"/>
    <w:p w14:paraId="7255E17F" w14:textId="77777777" w:rsidR="00674B83" w:rsidRDefault="00BB0643">
      <w:pPr>
        <w:jc w:val="center"/>
        <w:rPr>
          <w:b/>
        </w:rPr>
      </w:pPr>
      <w:r>
        <w:t>Appel à Communications</w:t>
      </w:r>
      <w:r>
        <w:rPr>
          <w:b/>
        </w:rPr>
        <w:t xml:space="preserve"> </w:t>
      </w:r>
    </w:p>
    <w:p w14:paraId="63B8C0FE" w14:textId="77777777" w:rsidR="00674B83" w:rsidRDefault="00BB0643">
      <w:pPr>
        <w:jc w:val="center"/>
        <w:rPr>
          <w:b/>
          <w:sz w:val="24"/>
          <w:szCs w:val="24"/>
        </w:rPr>
      </w:pPr>
      <w:r>
        <w:rPr>
          <w:b/>
          <w:sz w:val="24"/>
          <w:szCs w:val="24"/>
        </w:rPr>
        <w:t>Dynamiques des campagnes et adaptation aux enjeux contemporains (Nord et Sud)</w:t>
      </w:r>
    </w:p>
    <w:p w14:paraId="41D0B3DA" w14:textId="77777777" w:rsidR="00674B83" w:rsidRDefault="00674B83">
      <w:pPr>
        <w:rPr>
          <w:b/>
        </w:rPr>
      </w:pPr>
    </w:p>
    <w:p w14:paraId="7E909B64" w14:textId="77777777" w:rsidR="00674B83" w:rsidRDefault="00BB0643">
      <w:pPr>
        <w:jc w:val="both"/>
      </w:pPr>
      <w:r>
        <w:t xml:space="preserve">Les campagnes ont été vues depuis longtemps à la fois comme des lieux idylliques et en même temps répulsifs, léthargiques, d’accès difficile, habités par des personnes pauvres, âgées, sans formation académique et plutôt conservatrices, soit le rural profond dont nous parle B. Kayser (1993). Cependant, certaines campagnes ont subi des transformations importantes à la suite d’interventions comme les campagnes du blé dans les années 1920/1930, la collectivisation des structures foncières (Drain, 1995), les politiques agricoles ou le </w:t>
      </w:r>
      <w:r>
        <w:rPr>
          <w:i/>
        </w:rPr>
        <w:t xml:space="preserve">land </w:t>
      </w:r>
      <w:proofErr w:type="spellStart"/>
      <w:r>
        <w:rPr>
          <w:i/>
        </w:rPr>
        <w:t>grabbing</w:t>
      </w:r>
      <w:proofErr w:type="spellEnd"/>
      <w:r>
        <w:t> dans l’actualité, qui bouleversent le monde rural du point de vue environnemental, social et économique. En même temps, on assiste à de nouvelles trajectoires et de nouveaux acteurs émergent (Rouget, 2016). Il s’agit alors de repenser ces campagnes (Poulot, 2007) qui mettent souvent en valeur des produits sous signe de qualité, même si les stratégies de marketing territorial détournent souvent l’image du terroir (</w:t>
      </w:r>
      <w:proofErr w:type="spellStart"/>
      <w:r>
        <w:t>Margetic</w:t>
      </w:r>
      <w:proofErr w:type="spellEnd"/>
      <w:r>
        <w:t>, 2017).</w:t>
      </w:r>
    </w:p>
    <w:p w14:paraId="0CA64C6F" w14:textId="77777777" w:rsidR="00674B83" w:rsidRDefault="00BB0643">
      <w:pPr>
        <w:jc w:val="both"/>
      </w:pPr>
      <w:r>
        <w:t xml:space="preserve">Pour autant, la détérioration de la vie dans les villes et un changement de valeurs dans la société ont entraîné un nouvel essor d’espaces ruraux redevenus attractifs, surtout pour des gens en quête de sens dans leurs vies, comme des retraités ou ces jeunes couples habitant en ville, aux revenus moyens et ayant des enfants, dont 27% d’entre eux manifestaient l’intention de s’installer dans une petite commune en France, selon une enquête de 2001 (Perrier-Cornet, 2002). De manière générale, sous leur impulsion, se diffusent de nouvelles démarches, </w:t>
      </w:r>
      <w:r w:rsidR="00FF7DF7">
        <w:t>comme la permaculture (</w:t>
      </w:r>
      <w:proofErr w:type="spellStart"/>
      <w:r w:rsidR="00FF7DF7">
        <w:t>Firmino</w:t>
      </w:r>
      <w:proofErr w:type="spellEnd"/>
      <w:r w:rsidR="00FF7DF7">
        <w:t xml:space="preserve">, </w:t>
      </w:r>
      <w:r>
        <w:t xml:space="preserve">2014) ou l’habitat en communautés alternatives, qui viennent s’ajouter à des modes de production agricole aussi en progression, comme l’agriculture biologique (van Dam, 2005). Cette attirance pour le rural ressort parfaitement d’une enquête </w:t>
      </w:r>
      <w:proofErr w:type="spellStart"/>
      <w:r>
        <w:t>Ifop</w:t>
      </w:r>
      <w:proofErr w:type="spellEnd"/>
      <w:r>
        <w:t xml:space="preserve"> (2018) réalisée pour l’association Familles Rurales qui souligne que 80% des personnes interrogées rêvent de vivre à la campagne.</w:t>
      </w:r>
    </w:p>
    <w:p w14:paraId="62CEF099" w14:textId="77777777" w:rsidR="00674B83" w:rsidRDefault="00BB0643">
      <w:pPr>
        <w:jc w:val="both"/>
      </w:pPr>
      <w:r>
        <w:t xml:space="preserve">L’appel à la décroissance (Latouche, 2011 ; Duverger, 2011) comme moyen d’atteindre le développement durable, pourrait aussi contribuer à une revalorisation de campagnes vues comme des espaces d’innovation, donnant lieu à de nouvelles ruralités (Rieutort, 2012). </w:t>
      </w:r>
    </w:p>
    <w:p w14:paraId="37F11937" w14:textId="77777777" w:rsidR="00674B83" w:rsidRDefault="00BB0643">
      <w:pPr>
        <w:jc w:val="both"/>
      </w:pPr>
      <w:r>
        <w:t>Nous identifions donc au moins trois fonctions aux campagnes, plus ou moins imbriquées et interdépendantes, selon les lieux, relatives notamment aux ressources productives, aux espaces résidentiels et récréatifs et à la Nature qui, au XXIe siècle constitue un enjeu particulièrement fort face aux menaces posées par le changement climatique et la destruction des paysages, et qui se présente « pleine de risques, préservée et menacée, sans cesse enrichie et altérée » (Frémont, 2002).</w:t>
      </w:r>
    </w:p>
    <w:p w14:paraId="37612195" w14:textId="77777777" w:rsidR="00674B83" w:rsidRDefault="00BB0643">
      <w:pPr>
        <w:jc w:val="both"/>
      </w:pPr>
      <w:r>
        <w:lastRenderedPageBreak/>
        <w:t>Cet appel à communications vous invite ainsi à réfléchir sur les dynamiques et adaptations des campagnes aux enjeux contemporains, qui sont en train de transformer cette réalité. Les sessions seront organisées en quatre sous-thèmes:</w:t>
      </w:r>
    </w:p>
    <w:p w14:paraId="2452195D" w14:textId="77777777" w:rsidR="00674B83" w:rsidRDefault="00BB0643">
      <w:pPr>
        <w:numPr>
          <w:ilvl w:val="0"/>
          <w:numId w:val="1"/>
        </w:numPr>
        <w:pBdr>
          <w:top w:val="nil"/>
          <w:left w:val="nil"/>
          <w:bottom w:val="nil"/>
          <w:right w:val="nil"/>
          <w:between w:val="nil"/>
        </w:pBdr>
        <w:jc w:val="both"/>
        <w:rPr>
          <w:b/>
          <w:color w:val="000000"/>
        </w:rPr>
      </w:pPr>
      <w:r>
        <w:rPr>
          <w:b/>
          <w:color w:val="000000"/>
        </w:rPr>
        <w:t>Agriculture, érosion et changement climatique : enjeux et perspectives</w:t>
      </w:r>
    </w:p>
    <w:p w14:paraId="7CA3BC27" w14:textId="77777777" w:rsidR="00674B83" w:rsidRDefault="00BB0643">
      <w:pPr>
        <w:jc w:val="both"/>
        <w:rPr>
          <w:b/>
        </w:rPr>
      </w:pPr>
      <w:r>
        <w:t>La demande croissante de produits agricoles, entraînée par l’augmentation de la population mondiale, un meilleur pouvoir d’achat et la diffusion du modèle alimentaire adopté par les sociétés développées, dans un cadre de changement climatique, pose</w:t>
      </w:r>
      <w:bookmarkStart w:id="0" w:name="_GoBack"/>
      <w:bookmarkEnd w:id="0"/>
      <w:r>
        <w:t xml:space="preserve"> des questions très pertinentes face à une intensification de la production agricole fondée sur des ressources rares, comme l’eau, et la fragilité de quelques territoires menacés par l’érosion et la désertification ou par les incendies de forêt.</w:t>
      </w:r>
    </w:p>
    <w:p w14:paraId="30762D4A" w14:textId="77777777" w:rsidR="00674B83" w:rsidRDefault="00BB0643">
      <w:pPr>
        <w:numPr>
          <w:ilvl w:val="0"/>
          <w:numId w:val="1"/>
        </w:numPr>
        <w:pBdr>
          <w:top w:val="nil"/>
          <w:left w:val="nil"/>
          <w:bottom w:val="nil"/>
          <w:right w:val="nil"/>
          <w:between w:val="nil"/>
        </w:pBdr>
        <w:jc w:val="both"/>
        <w:rPr>
          <w:b/>
          <w:color w:val="000000"/>
        </w:rPr>
      </w:pPr>
      <w:r>
        <w:rPr>
          <w:b/>
          <w:color w:val="000000"/>
        </w:rPr>
        <w:t>Tourisme: atout ou malédiction pour les espaces ruraux ?</w:t>
      </w:r>
    </w:p>
    <w:p w14:paraId="40B432F2" w14:textId="77777777" w:rsidR="00674B83" w:rsidRDefault="00BB0643">
      <w:pPr>
        <w:jc w:val="both"/>
      </w:pPr>
      <w:r>
        <w:t>Le tourisme a acquis une importance particulière dans l’économie mondiale dû à son poids dans le PIB des pays et à la capacité à créer des emplois</w:t>
      </w:r>
      <w:r w:rsidR="00FF7DF7">
        <w:t>. Moteur pour le développement,</w:t>
      </w:r>
      <w:r>
        <w:t xml:space="preserve"> il peut aussi contribuer à rompre les équilibres sociaux et/ou environnementaux à différentes échelles. Comment comptabiliser les atouts sans entraîner les maléfices, qui peuvent être associés à une exploitation très intensive des ressources touristiques ?  </w:t>
      </w:r>
    </w:p>
    <w:p w14:paraId="5C133731" w14:textId="77777777" w:rsidR="00674B83" w:rsidRDefault="00BB0643">
      <w:pPr>
        <w:numPr>
          <w:ilvl w:val="0"/>
          <w:numId w:val="1"/>
        </w:numPr>
        <w:pBdr>
          <w:top w:val="nil"/>
          <w:left w:val="nil"/>
          <w:bottom w:val="nil"/>
          <w:right w:val="nil"/>
          <w:between w:val="nil"/>
        </w:pBdr>
        <w:spacing w:after="0"/>
        <w:jc w:val="both"/>
        <w:rPr>
          <w:b/>
          <w:color w:val="000000"/>
        </w:rPr>
      </w:pPr>
      <w:r>
        <w:rPr>
          <w:b/>
          <w:color w:val="000000"/>
        </w:rPr>
        <w:t>Patrimoine et valorisation des territoires</w:t>
      </w:r>
    </w:p>
    <w:p w14:paraId="6839455D" w14:textId="77777777" w:rsidR="00674B83" w:rsidRDefault="00674B83">
      <w:pPr>
        <w:pBdr>
          <w:top w:val="nil"/>
          <w:left w:val="nil"/>
          <w:bottom w:val="nil"/>
          <w:right w:val="nil"/>
          <w:between w:val="nil"/>
        </w:pBdr>
        <w:spacing w:after="0"/>
        <w:ind w:hanging="720"/>
        <w:jc w:val="both"/>
        <w:rPr>
          <w:b/>
          <w:color w:val="000000"/>
        </w:rPr>
      </w:pPr>
    </w:p>
    <w:p w14:paraId="7826F692" w14:textId="77777777" w:rsidR="00674B83" w:rsidRDefault="00BB0643">
      <w:pPr>
        <w:pBdr>
          <w:top w:val="nil"/>
          <w:left w:val="nil"/>
          <w:bottom w:val="nil"/>
          <w:right w:val="nil"/>
          <w:between w:val="nil"/>
        </w:pBdr>
        <w:jc w:val="both"/>
        <w:rPr>
          <w:color w:val="000000"/>
        </w:rPr>
      </w:pPr>
      <w:r>
        <w:rPr>
          <w:color w:val="000000"/>
        </w:rPr>
        <w:t>Le patrimoine est de plus en plus associé aux projets de développement régional et local. En effet, les acteurs politiques et sociaux cherchent à valoriser leurs territoires, en utilisant les ressources patrimoniales, soit naturelles ou culturelles, ce qui dépend toujours du contexte dans lequel se produit ce processus. Cet appel est adressé à ceux qui s’intéressent aux questions du patrimoine dans ces différentes dimensions, économiques, culturelles, sociales et politiques.</w:t>
      </w:r>
    </w:p>
    <w:p w14:paraId="09CE2D90" w14:textId="77777777" w:rsidR="00674B83" w:rsidRDefault="00BB0643">
      <w:pPr>
        <w:numPr>
          <w:ilvl w:val="0"/>
          <w:numId w:val="1"/>
        </w:numPr>
        <w:pBdr>
          <w:top w:val="nil"/>
          <w:left w:val="nil"/>
          <w:bottom w:val="nil"/>
          <w:right w:val="nil"/>
          <w:between w:val="nil"/>
        </w:pBdr>
        <w:jc w:val="both"/>
        <w:rPr>
          <w:b/>
          <w:color w:val="000000"/>
        </w:rPr>
      </w:pPr>
      <w:r>
        <w:rPr>
          <w:b/>
          <w:color w:val="000000"/>
        </w:rPr>
        <w:t>Développement durable et dynamiques des territoires ruraux</w:t>
      </w:r>
    </w:p>
    <w:p w14:paraId="45B69DCB" w14:textId="77777777" w:rsidR="00674B83" w:rsidRDefault="00BB0643">
      <w:pPr>
        <w:jc w:val="both"/>
      </w:pPr>
      <w:r>
        <w:t>Les nouveaux défis posés à la société, comme conséquence d’une détérioration prévisible et déjà en marche des conditions de vie sur la Planète Terre, offrent de nouvelles opportunités de développement dans les territoires ruraux. Ces opportunités sont agricoles. Les projets et processus de relocalisation alimentaire par exemple contribuent à une recomposition tant des bassins de production que des filières. La production d’énergies durables se présente également comme une opportunité des plus importantes, face à la réduction prévue des combustibles fossiles, de même façon que l’utilisation des déchets de la forêt pour la production de pellets.  Les campagnes sont de plus en plus reconnues comme des fournisseurs de services environnementaux, et les terres agricoles sont valorisés par la politique agricole européenne comme des puits de carbone. Où est-on en termes de développement durable ? Quelles dynamiques ou quelles démarches innovantes animent les territoires ruraux ?</w:t>
      </w:r>
    </w:p>
    <w:p w14:paraId="09D03C3B" w14:textId="77777777" w:rsidR="00674B83" w:rsidRDefault="00BB0643">
      <w:pPr>
        <w:jc w:val="both"/>
      </w:pPr>
      <w:r>
        <w:t>Ces sous-thématiques ne sont pas exclusives. Nous vous encourageons à explorer toute dimension associée aux dynamiques et adaptations des campagnes dans le cadre des enjeux contemporains.</w:t>
      </w:r>
    </w:p>
    <w:p w14:paraId="14A361DA" w14:textId="77777777" w:rsidR="00674B83" w:rsidRDefault="00BB0643">
      <w:pPr>
        <w:rPr>
          <w:b/>
        </w:rPr>
      </w:pPr>
      <w:r>
        <w:br w:type="page"/>
      </w:r>
    </w:p>
    <w:p w14:paraId="5AEDA76F" w14:textId="77777777" w:rsidR="00674B83" w:rsidRDefault="00BB0643">
      <w:pPr>
        <w:tabs>
          <w:tab w:val="left" w:pos="180"/>
        </w:tabs>
        <w:rPr>
          <w:b/>
        </w:rPr>
      </w:pPr>
      <w:r>
        <w:rPr>
          <w:b/>
        </w:rPr>
        <w:lastRenderedPageBreak/>
        <w:t>Modalités de soumission</w:t>
      </w:r>
    </w:p>
    <w:p w14:paraId="6A3D32DA" w14:textId="77777777" w:rsidR="00674B83" w:rsidRDefault="00BB0643">
      <w:pPr>
        <w:tabs>
          <w:tab w:val="left" w:pos="180"/>
        </w:tabs>
        <w:jc w:val="both"/>
      </w:pPr>
      <w:r>
        <w:t xml:space="preserve">Les propositions de communication, rédigées en français ou en anglais, devront être d’une page maximum (références incluses) et adressés à </w:t>
      </w:r>
      <w:r>
        <w:rPr>
          <w:color w:val="0563C1"/>
          <w:u w:val="single"/>
        </w:rPr>
        <w:t>journeesrurales19@fcsh.unl.pt</w:t>
      </w:r>
      <w:r>
        <w:t xml:space="preserve"> pour le 18 mars 2019 au plus tard.</w:t>
      </w:r>
    </w:p>
    <w:p w14:paraId="48D4B3C1" w14:textId="77777777" w:rsidR="00674B83" w:rsidRDefault="00BB0643">
      <w:pPr>
        <w:tabs>
          <w:tab w:val="left" w:pos="180"/>
        </w:tabs>
        <w:rPr>
          <w:b/>
        </w:rPr>
      </w:pPr>
      <w:r>
        <w:rPr>
          <w:b/>
        </w:rPr>
        <w:t>Calendrier</w:t>
      </w:r>
    </w:p>
    <w:p w14:paraId="2300D5CC" w14:textId="77777777" w:rsidR="00674B83" w:rsidRDefault="00BB0643">
      <w:pPr>
        <w:tabs>
          <w:tab w:val="left" w:pos="180"/>
        </w:tabs>
        <w:spacing w:after="0" w:line="240" w:lineRule="auto"/>
      </w:pPr>
      <w:r>
        <w:t>Date limite de soumission : 18 mars 2019</w:t>
      </w:r>
    </w:p>
    <w:p w14:paraId="7216AF0D" w14:textId="77777777" w:rsidR="00674B83" w:rsidRDefault="00BB0643">
      <w:pPr>
        <w:tabs>
          <w:tab w:val="left" w:pos="180"/>
        </w:tabs>
        <w:spacing w:after="0" w:line="240" w:lineRule="auto"/>
      </w:pPr>
      <w:r>
        <w:t>Notification aux auteurs : 31 mars 2019</w:t>
      </w:r>
    </w:p>
    <w:p w14:paraId="6B466B8C" w14:textId="77777777" w:rsidR="00674B83" w:rsidRDefault="00BB0643">
      <w:pPr>
        <w:tabs>
          <w:tab w:val="left" w:pos="180"/>
        </w:tabs>
        <w:spacing w:after="0" w:line="240" w:lineRule="auto"/>
      </w:pPr>
      <w:r>
        <w:t>Date limite d’inscription :</w:t>
      </w:r>
      <w:r>
        <w:rPr>
          <w:color w:val="FF0000"/>
        </w:rPr>
        <w:t> </w:t>
      </w:r>
      <w:r>
        <w:t>14 avril</w:t>
      </w:r>
      <w:r w:rsidR="00FF7DF7">
        <w:t xml:space="preserve"> 2019</w:t>
      </w:r>
    </w:p>
    <w:p w14:paraId="0798D45F" w14:textId="77777777" w:rsidR="00674B83" w:rsidRDefault="00BB0643">
      <w:pPr>
        <w:tabs>
          <w:tab w:val="left" w:pos="180"/>
        </w:tabs>
        <w:spacing w:after="0" w:line="240" w:lineRule="auto"/>
      </w:pPr>
      <w:r>
        <w:t>Date du colloque : 17 juin 2019</w:t>
      </w:r>
    </w:p>
    <w:p w14:paraId="0D17F364" w14:textId="77777777" w:rsidR="00674B83" w:rsidRDefault="00BB0643">
      <w:pPr>
        <w:tabs>
          <w:tab w:val="left" w:pos="180"/>
        </w:tabs>
        <w:spacing w:after="0" w:line="240" w:lineRule="auto"/>
      </w:pPr>
      <w:r>
        <w:t>Terrain thématique (Est et Sud du Portugal - Alentejo et Algarve) : 18-22 juin 2019</w:t>
      </w:r>
    </w:p>
    <w:p w14:paraId="6AE1039D" w14:textId="77777777" w:rsidR="00674B83" w:rsidRDefault="00674B83">
      <w:pPr>
        <w:tabs>
          <w:tab w:val="left" w:pos="180"/>
        </w:tabs>
        <w:spacing w:after="0" w:line="240" w:lineRule="auto"/>
      </w:pPr>
    </w:p>
    <w:p w14:paraId="55549864" w14:textId="77777777" w:rsidR="00674B83" w:rsidRDefault="00BB0643">
      <w:pPr>
        <w:tabs>
          <w:tab w:val="left" w:pos="180"/>
        </w:tabs>
        <w:spacing w:after="0" w:line="240" w:lineRule="auto"/>
        <w:rPr>
          <w:b/>
        </w:rPr>
      </w:pPr>
      <w:r>
        <w:rPr>
          <w:b/>
        </w:rPr>
        <w:t>Inscription</w:t>
      </w:r>
    </w:p>
    <w:p w14:paraId="296725FF" w14:textId="77777777" w:rsidR="00674B83" w:rsidRDefault="00674B83">
      <w:pPr>
        <w:tabs>
          <w:tab w:val="left" w:pos="180"/>
        </w:tabs>
        <w:spacing w:after="0" w:line="240" w:lineRule="auto"/>
        <w:rPr>
          <w:b/>
        </w:rPr>
      </w:pPr>
    </w:p>
    <w:p w14:paraId="7529702A" w14:textId="77777777" w:rsidR="00674B83" w:rsidRDefault="00BB0643">
      <w:pPr>
        <w:tabs>
          <w:tab w:val="left" w:pos="180"/>
        </w:tabs>
        <w:spacing w:after="0"/>
      </w:pPr>
      <w:bookmarkStart w:id="1" w:name="_gjdgxs" w:colFirst="0" w:colLast="0"/>
      <w:bookmarkEnd w:id="1"/>
      <w:r>
        <w:t xml:space="preserve">Le colloque des Journées Rurales 2019 aura lieu à Lisbonne, à la </w:t>
      </w:r>
      <w:hyperlink r:id="rId7">
        <w:proofErr w:type="spellStart"/>
        <w:r>
          <w:rPr>
            <w:color w:val="0563C1"/>
            <w:u w:val="single"/>
          </w:rPr>
          <w:t>Faculdade</w:t>
        </w:r>
        <w:proofErr w:type="spellEnd"/>
        <w:r>
          <w:rPr>
            <w:color w:val="0563C1"/>
            <w:u w:val="single"/>
          </w:rPr>
          <w:t xml:space="preserve"> de </w:t>
        </w:r>
        <w:proofErr w:type="spellStart"/>
        <w:r>
          <w:rPr>
            <w:color w:val="0563C1"/>
            <w:u w:val="single"/>
          </w:rPr>
          <w:t>Ciências</w:t>
        </w:r>
        <w:proofErr w:type="spellEnd"/>
        <w:r>
          <w:rPr>
            <w:color w:val="0563C1"/>
            <w:u w:val="single"/>
          </w:rPr>
          <w:t xml:space="preserve"> </w:t>
        </w:r>
        <w:proofErr w:type="spellStart"/>
        <w:r>
          <w:rPr>
            <w:color w:val="0563C1"/>
            <w:u w:val="single"/>
          </w:rPr>
          <w:t>Sociais</w:t>
        </w:r>
        <w:proofErr w:type="spellEnd"/>
        <w:r>
          <w:rPr>
            <w:color w:val="0563C1"/>
            <w:u w:val="single"/>
          </w:rPr>
          <w:t xml:space="preserve"> e </w:t>
        </w:r>
        <w:proofErr w:type="spellStart"/>
        <w:r>
          <w:rPr>
            <w:color w:val="0563C1"/>
            <w:u w:val="single"/>
          </w:rPr>
          <w:t>Humanas</w:t>
        </w:r>
        <w:proofErr w:type="spellEnd"/>
      </w:hyperlink>
      <w:r>
        <w:t>.</w:t>
      </w:r>
      <w:r w:rsidR="00A947F8">
        <w:t xml:space="preserve"> Le formulaire d’inscription sera</w:t>
      </w:r>
      <w:r>
        <w:t xml:space="preserve"> </w:t>
      </w:r>
      <w:r w:rsidR="00B72277">
        <w:t xml:space="preserve">bientôt </w:t>
      </w:r>
      <w:r>
        <w:t xml:space="preserve">disponible sur le site </w:t>
      </w:r>
      <w:hyperlink r:id="rId8">
        <w:r>
          <w:rPr>
            <w:color w:val="1155CC"/>
            <w:u w:val="single"/>
          </w:rPr>
          <w:t>fcsh.unl.pt/journeesrurales2019</w:t>
        </w:r>
      </w:hyperlink>
    </w:p>
    <w:p w14:paraId="51C0F4DE" w14:textId="77777777" w:rsidR="00674B83" w:rsidRDefault="00674B83">
      <w:pPr>
        <w:tabs>
          <w:tab w:val="left" w:pos="180"/>
        </w:tabs>
        <w:spacing w:after="0"/>
      </w:pPr>
    </w:p>
    <w:p w14:paraId="727EBAFE" w14:textId="77777777" w:rsidR="00674B83" w:rsidRDefault="00BB0643">
      <w:pPr>
        <w:tabs>
          <w:tab w:val="left" w:pos="180"/>
        </w:tabs>
        <w:spacing w:after="0"/>
      </w:pPr>
      <w:r>
        <w:t>Les modalités d’inscription sont les suivantes :</w:t>
      </w:r>
    </w:p>
    <w:p w14:paraId="02D89405" w14:textId="77777777" w:rsidR="00674B83" w:rsidRDefault="00BB0643">
      <w:pPr>
        <w:tabs>
          <w:tab w:val="left" w:pos="180"/>
        </w:tabs>
        <w:spacing w:after="0"/>
      </w:pPr>
      <w:r>
        <w:t xml:space="preserve"> </w:t>
      </w: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844"/>
      </w:tblGrid>
      <w:tr w:rsidR="00674B83" w14:paraId="25EA2BA3" w14:textId="77777777">
        <w:tc>
          <w:tcPr>
            <w:tcW w:w="7650" w:type="dxa"/>
            <w:vAlign w:val="bottom"/>
          </w:tcPr>
          <w:p w14:paraId="49B32D1A" w14:textId="77777777" w:rsidR="00674B83" w:rsidRDefault="00BB0643">
            <w:pPr>
              <w:tabs>
                <w:tab w:val="left" w:pos="180"/>
              </w:tabs>
            </w:pPr>
            <w:r>
              <w:rPr>
                <w:color w:val="000000"/>
              </w:rPr>
              <w:t xml:space="preserve">Inscription au colloque (inclus déjeuner, </w:t>
            </w:r>
            <w:proofErr w:type="spellStart"/>
            <w:r>
              <w:rPr>
                <w:color w:val="000000"/>
              </w:rPr>
              <w:t>pauses-café</w:t>
            </w:r>
            <w:proofErr w:type="spellEnd"/>
            <w:r>
              <w:rPr>
                <w:color w:val="000000"/>
              </w:rPr>
              <w:t xml:space="preserve"> et documents)</w:t>
            </w:r>
          </w:p>
        </w:tc>
        <w:tc>
          <w:tcPr>
            <w:tcW w:w="844" w:type="dxa"/>
            <w:vAlign w:val="bottom"/>
          </w:tcPr>
          <w:p w14:paraId="79D61B81" w14:textId="77777777" w:rsidR="00674B83" w:rsidRDefault="00BB0643">
            <w:pPr>
              <w:tabs>
                <w:tab w:val="left" w:pos="180"/>
              </w:tabs>
              <w:jc w:val="right"/>
            </w:pPr>
            <w:r>
              <w:rPr>
                <w:color w:val="000000"/>
              </w:rPr>
              <w:t xml:space="preserve">50 € </w:t>
            </w:r>
          </w:p>
        </w:tc>
      </w:tr>
      <w:tr w:rsidR="00674B83" w14:paraId="530BDC69" w14:textId="77777777">
        <w:tc>
          <w:tcPr>
            <w:tcW w:w="7650" w:type="dxa"/>
            <w:vAlign w:val="bottom"/>
          </w:tcPr>
          <w:p w14:paraId="2398C4CA" w14:textId="77777777" w:rsidR="00674B83" w:rsidRDefault="00BB0643">
            <w:pPr>
              <w:tabs>
                <w:tab w:val="left" w:pos="180"/>
              </w:tabs>
            </w:pPr>
            <w:r>
              <w:rPr>
                <w:color w:val="000000"/>
              </w:rPr>
              <w:t>Inscription au colloque pour étudiants (master, doctorat)</w:t>
            </w:r>
          </w:p>
        </w:tc>
        <w:tc>
          <w:tcPr>
            <w:tcW w:w="844" w:type="dxa"/>
            <w:vAlign w:val="bottom"/>
          </w:tcPr>
          <w:p w14:paraId="36C2322E" w14:textId="77777777" w:rsidR="00674B83" w:rsidRDefault="00BB0643">
            <w:pPr>
              <w:tabs>
                <w:tab w:val="left" w:pos="180"/>
              </w:tabs>
              <w:jc w:val="right"/>
              <w:rPr>
                <w:color w:val="000000"/>
              </w:rPr>
            </w:pPr>
            <w:r>
              <w:rPr>
                <w:color w:val="000000"/>
              </w:rPr>
              <w:t xml:space="preserve">30 € </w:t>
            </w:r>
          </w:p>
        </w:tc>
      </w:tr>
      <w:tr w:rsidR="00674B83" w14:paraId="75032D81" w14:textId="77777777">
        <w:tc>
          <w:tcPr>
            <w:tcW w:w="7650" w:type="dxa"/>
            <w:vAlign w:val="bottom"/>
          </w:tcPr>
          <w:p w14:paraId="09138FD9" w14:textId="77777777" w:rsidR="00674B83" w:rsidRDefault="00BB0643">
            <w:pPr>
              <w:tabs>
                <w:tab w:val="left" w:pos="180"/>
              </w:tabs>
            </w:pPr>
            <w:r>
              <w:rPr>
                <w:color w:val="000000"/>
              </w:rPr>
              <w:t>Dîner de gala (17 juin au soir)</w:t>
            </w:r>
          </w:p>
        </w:tc>
        <w:tc>
          <w:tcPr>
            <w:tcW w:w="844" w:type="dxa"/>
            <w:vAlign w:val="bottom"/>
          </w:tcPr>
          <w:p w14:paraId="4E823A4B" w14:textId="77777777" w:rsidR="00674B83" w:rsidRDefault="00BB0643">
            <w:pPr>
              <w:tabs>
                <w:tab w:val="left" w:pos="180"/>
              </w:tabs>
              <w:jc w:val="right"/>
            </w:pPr>
            <w:r>
              <w:rPr>
                <w:color w:val="000000"/>
              </w:rPr>
              <w:t xml:space="preserve">30 € </w:t>
            </w:r>
          </w:p>
        </w:tc>
      </w:tr>
      <w:tr w:rsidR="00674B83" w14:paraId="3F1194DD" w14:textId="77777777">
        <w:tc>
          <w:tcPr>
            <w:tcW w:w="7650" w:type="dxa"/>
            <w:vAlign w:val="bottom"/>
          </w:tcPr>
          <w:p w14:paraId="15F59B09" w14:textId="77777777" w:rsidR="00674B83" w:rsidRDefault="00BB0643">
            <w:pPr>
              <w:tabs>
                <w:tab w:val="left" w:pos="180"/>
              </w:tabs>
            </w:pPr>
            <w:r>
              <w:rPr>
                <w:color w:val="000000"/>
              </w:rPr>
              <w:t xml:space="preserve">Inscription à l’ensemble des JR (colloque, dîner de gala et </w:t>
            </w:r>
            <w:r>
              <w:t>terrain thématique</w:t>
            </w:r>
            <w:r>
              <w:rPr>
                <w:color w:val="000000"/>
              </w:rPr>
              <w:t xml:space="preserve">*) </w:t>
            </w:r>
          </w:p>
        </w:tc>
        <w:tc>
          <w:tcPr>
            <w:tcW w:w="844" w:type="dxa"/>
            <w:vAlign w:val="bottom"/>
          </w:tcPr>
          <w:p w14:paraId="0A4974C6" w14:textId="77777777" w:rsidR="00674B83" w:rsidRDefault="00BB0643">
            <w:pPr>
              <w:tabs>
                <w:tab w:val="left" w:pos="180"/>
              </w:tabs>
              <w:jc w:val="right"/>
            </w:pPr>
            <w:r>
              <w:rPr>
                <w:color w:val="000000"/>
              </w:rPr>
              <w:t xml:space="preserve">750 € </w:t>
            </w:r>
          </w:p>
        </w:tc>
      </w:tr>
    </w:tbl>
    <w:p w14:paraId="2088C053" w14:textId="77777777" w:rsidR="00674B83" w:rsidRDefault="00BB0643">
      <w:pPr>
        <w:tabs>
          <w:tab w:val="left" w:pos="180"/>
        </w:tabs>
        <w:rPr>
          <w:sz w:val="18"/>
          <w:szCs w:val="18"/>
        </w:rPr>
      </w:pPr>
      <w:r>
        <w:rPr>
          <w:sz w:val="18"/>
          <w:szCs w:val="18"/>
        </w:rPr>
        <w:t>* inclus le transport en bus, les repas et 4 nuits d’hôtel.</w:t>
      </w:r>
    </w:p>
    <w:p w14:paraId="3946E20E" w14:textId="77777777" w:rsidR="00674B83" w:rsidRDefault="00674B83">
      <w:pPr>
        <w:tabs>
          <w:tab w:val="left" w:pos="180"/>
        </w:tabs>
        <w:spacing w:after="0" w:line="240" w:lineRule="auto"/>
        <w:rPr>
          <w:b/>
        </w:rPr>
      </w:pPr>
    </w:p>
    <w:p w14:paraId="6F5B0BE0" w14:textId="77777777" w:rsidR="00674B83" w:rsidRDefault="00BB0643">
      <w:pPr>
        <w:tabs>
          <w:tab w:val="left" w:pos="180"/>
        </w:tabs>
        <w:rPr>
          <w:b/>
        </w:rPr>
      </w:pPr>
      <w:r>
        <w:rPr>
          <w:b/>
        </w:rPr>
        <w:t>Contact</w:t>
      </w:r>
    </w:p>
    <w:p w14:paraId="12E37395" w14:textId="77777777" w:rsidR="00674B83" w:rsidRDefault="00BB0643">
      <w:pPr>
        <w:tabs>
          <w:tab w:val="left" w:pos="180"/>
        </w:tabs>
      </w:pPr>
      <w:r>
        <w:t xml:space="preserve">Pour tout renseignement concernant les inscriptions et les soumissions : </w:t>
      </w:r>
      <w:r>
        <w:rPr>
          <w:color w:val="0563C1"/>
          <w:u w:val="single"/>
        </w:rPr>
        <w:t>journeesrurales19@fcsh.unl.pt</w:t>
      </w:r>
    </w:p>
    <w:sectPr w:rsidR="00674B83">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EAEC" w14:textId="77777777" w:rsidR="00BB0643" w:rsidRDefault="00BB0643">
      <w:pPr>
        <w:spacing w:after="0" w:line="240" w:lineRule="auto"/>
      </w:pPr>
      <w:r>
        <w:separator/>
      </w:r>
    </w:p>
  </w:endnote>
  <w:endnote w:type="continuationSeparator" w:id="0">
    <w:p w14:paraId="2C2A2DBF" w14:textId="77777777" w:rsidR="00BB0643" w:rsidRDefault="00BB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8629" w14:textId="77777777" w:rsidR="00674B83" w:rsidRDefault="00BB0643">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pt-PT"/>
      </w:rPr>
      <w:drawing>
        <wp:inline distT="0" distB="0" distL="0" distR="0" wp14:anchorId="245B9E17" wp14:editId="69CC9798">
          <wp:extent cx="2680056" cy="46958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80056" cy="469582"/>
                  </a:xfrm>
                  <a:prstGeom prst="rect">
                    <a:avLst/>
                  </a:prstGeom>
                  <a:ln/>
                </pic:spPr>
              </pic:pic>
            </a:graphicData>
          </a:graphic>
        </wp:inline>
      </w:drawing>
    </w:r>
    <w:r>
      <w:rPr>
        <w:color w:val="000000"/>
      </w:rPr>
      <w:t xml:space="preserve">        </w:t>
    </w:r>
    <w:r>
      <w:rPr>
        <w:noProof/>
        <w:color w:val="000000"/>
        <w:lang w:val="pt-PT"/>
      </w:rPr>
      <w:drawing>
        <wp:inline distT="0" distB="0" distL="0" distR="0" wp14:anchorId="68E087BF" wp14:editId="08C488F3">
          <wp:extent cx="416957" cy="457200"/>
          <wp:effectExtent l="0" t="0" r="0" b="0"/>
          <wp:docPr id="2" name="image1.png" descr="F:\DADOS RECUPERADOS_18Fev2019\Os meus documentos\Congressos e conferências\Colóquio e Visita GeoRural Jun2019\APPEL\CNFG.PNG"/>
          <wp:cNvGraphicFramePr/>
          <a:graphic xmlns:a="http://schemas.openxmlformats.org/drawingml/2006/main">
            <a:graphicData uri="http://schemas.openxmlformats.org/drawingml/2006/picture">
              <pic:pic xmlns:pic="http://schemas.openxmlformats.org/drawingml/2006/picture">
                <pic:nvPicPr>
                  <pic:cNvPr id="0" name="image1.png" descr="F:\DADOS RECUPERADOS_18Fev2019\Os meus documentos\Congressos e conferências\Colóquio e Visita GeoRural Jun2019\APPEL\CNFG.PNG"/>
                  <pic:cNvPicPr preferRelativeResize="0"/>
                </pic:nvPicPr>
                <pic:blipFill>
                  <a:blip r:embed="rId2"/>
                  <a:srcRect/>
                  <a:stretch>
                    <a:fillRect/>
                  </a:stretch>
                </pic:blipFill>
                <pic:spPr>
                  <a:xfrm>
                    <a:off x="0" y="0"/>
                    <a:ext cx="416957" cy="457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4164" w14:textId="77777777" w:rsidR="00BB0643" w:rsidRDefault="00BB0643">
      <w:pPr>
        <w:spacing w:after="0" w:line="240" w:lineRule="auto"/>
      </w:pPr>
      <w:r>
        <w:separator/>
      </w:r>
    </w:p>
  </w:footnote>
  <w:footnote w:type="continuationSeparator" w:id="0">
    <w:p w14:paraId="52A34FB9" w14:textId="77777777" w:rsidR="00BB0643" w:rsidRDefault="00BB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35DC5"/>
    <w:multiLevelType w:val="multilevel"/>
    <w:tmpl w:val="19540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83"/>
    <w:rsid w:val="00674B83"/>
    <w:rsid w:val="00A947F8"/>
    <w:rsid w:val="00B72277"/>
    <w:rsid w:val="00BB0643"/>
    <w:rsid w:val="00C62A04"/>
    <w:rsid w:val="00FF7D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3F86"/>
  <w15:docId w15:val="{9A957296-BC5A-4866-B4FB-1DF9B7F4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BE"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csh.unl.pt/journeesrurales2019" TargetMode="External"/><Relationship Id="rId3" Type="http://schemas.openxmlformats.org/officeDocument/2006/relationships/settings" Target="settings.xml"/><Relationship Id="rId7" Type="http://schemas.openxmlformats.org/officeDocument/2006/relationships/hyperlink" Target="https://goo.gl/maps/WvwjNNPXm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6171</Characters>
  <Application>Microsoft Office Word</Application>
  <DocSecurity>4</DocSecurity>
  <Lines>51</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ROUGET</dc:creator>
  <cp:lastModifiedBy>Nicolas Rouget</cp:lastModifiedBy>
  <cp:revision>2</cp:revision>
  <dcterms:created xsi:type="dcterms:W3CDTF">2019-02-21T20:21:00Z</dcterms:created>
  <dcterms:modified xsi:type="dcterms:W3CDTF">2019-02-21T20:21:00Z</dcterms:modified>
</cp:coreProperties>
</file>